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58276" w14:textId="77777777" w:rsidR="009679E8" w:rsidRDefault="009679E8">
      <w:pPr>
        <w:spacing w:line="480" w:lineRule="auto"/>
        <w:rPr>
          <w:rFonts w:ascii="Times New Roman" w:eastAsia="Times New Roman" w:hAnsi="Times New Roman" w:cs="Times New Roman"/>
          <w:sz w:val="24"/>
          <w:szCs w:val="24"/>
        </w:rPr>
      </w:pPr>
      <w:bookmarkStart w:id="0" w:name="_GoBack"/>
      <w:bookmarkEnd w:id="0"/>
    </w:p>
    <w:p w14:paraId="452ACD1F" w14:textId="77777777" w:rsidR="009679E8" w:rsidRDefault="009679E8">
      <w:pPr>
        <w:spacing w:line="480" w:lineRule="auto"/>
        <w:rPr>
          <w:rFonts w:ascii="Times New Roman" w:eastAsia="Times New Roman" w:hAnsi="Times New Roman" w:cs="Times New Roman"/>
          <w:sz w:val="24"/>
          <w:szCs w:val="24"/>
        </w:rPr>
      </w:pPr>
    </w:p>
    <w:p w14:paraId="160BF974" w14:textId="77777777" w:rsidR="009679E8" w:rsidRDefault="009679E8">
      <w:pPr>
        <w:spacing w:line="480" w:lineRule="auto"/>
        <w:rPr>
          <w:rFonts w:ascii="Times New Roman" w:eastAsia="Times New Roman" w:hAnsi="Times New Roman" w:cs="Times New Roman"/>
          <w:sz w:val="24"/>
          <w:szCs w:val="24"/>
        </w:rPr>
      </w:pPr>
    </w:p>
    <w:p w14:paraId="646D8CCA" w14:textId="77777777" w:rsidR="009679E8" w:rsidRDefault="009679E8">
      <w:pPr>
        <w:spacing w:line="480" w:lineRule="auto"/>
        <w:rPr>
          <w:rFonts w:ascii="Times New Roman" w:eastAsia="Times New Roman" w:hAnsi="Times New Roman" w:cs="Times New Roman"/>
          <w:sz w:val="24"/>
          <w:szCs w:val="24"/>
        </w:rPr>
      </w:pPr>
    </w:p>
    <w:p w14:paraId="59BEFD52" w14:textId="77777777" w:rsidR="009679E8" w:rsidRDefault="009679E8">
      <w:pPr>
        <w:spacing w:line="480" w:lineRule="auto"/>
        <w:rPr>
          <w:rFonts w:ascii="Times New Roman" w:eastAsia="Times New Roman" w:hAnsi="Times New Roman" w:cs="Times New Roman"/>
          <w:sz w:val="24"/>
          <w:szCs w:val="24"/>
        </w:rPr>
      </w:pPr>
    </w:p>
    <w:p w14:paraId="0F0907C3" w14:textId="77777777" w:rsidR="009679E8" w:rsidRDefault="009679E8">
      <w:pPr>
        <w:spacing w:line="480" w:lineRule="auto"/>
        <w:rPr>
          <w:rFonts w:ascii="Times New Roman" w:eastAsia="Times New Roman" w:hAnsi="Times New Roman" w:cs="Times New Roman"/>
          <w:sz w:val="24"/>
          <w:szCs w:val="24"/>
        </w:rPr>
      </w:pPr>
    </w:p>
    <w:p w14:paraId="687B7690" w14:textId="77777777" w:rsidR="009679E8" w:rsidRDefault="009679E8">
      <w:pPr>
        <w:spacing w:line="480" w:lineRule="auto"/>
        <w:rPr>
          <w:rFonts w:ascii="Times New Roman" w:eastAsia="Times New Roman" w:hAnsi="Times New Roman" w:cs="Times New Roman"/>
          <w:sz w:val="24"/>
          <w:szCs w:val="24"/>
        </w:rPr>
      </w:pPr>
    </w:p>
    <w:p w14:paraId="63807164" w14:textId="77777777" w:rsidR="009679E8" w:rsidRDefault="009679E8">
      <w:pPr>
        <w:spacing w:line="480" w:lineRule="auto"/>
        <w:rPr>
          <w:rFonts w:ascii="Times New Roman" w:eastAsia="Times New Roman" w:hAnsi="Times New Roman" w:cs="Times New Roman"/>
          <w:sz w:val="24"/>
          <w:szCs w:val="24"/>
        </w:rPr>
      </w:pPr>
    </w:p>
    <w:p w14:paraId="518AE590" w14:textId="77777777" w:rsidR="009679E8" w:rsidRDefault="009679E8">
      <w:pPr>
        <w:spacing w:line="480" w:lineRule="auto"/>
        <w:rPr>
          <w:rFonts w:ascii="Times New Roman" w:eastAsia="Times New Roman" w:hAnsi="Times New Roman" w:cs="Times New Roman"/>
          <w:sz w:val="24"/>
          <w:szCs w:val="24"/>
        </w:rPr>
      </w:pPr>
    </w:p>
    <w:p w14:paraId="5895B627" w14:textId="77777777" w:rsidR="009679E8" w:rsidRDefault="00BA7B7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Neuroticism and Openness to Experience</w:t>
      </w:r>
    </w:p>
    <w:p w14:paraId="0279E524" w14:textId="77777777" w:rsidR="009679E8" w:rsidRDefault="00BA7B7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Kyra S. Fuleihan</w:t>
      </w:r>
    </w:p>
    <w:p w14:paraId="195849EE" w14:textId="77777777" w:rsidR="009679E8" w:rsidRDefault="00BA7B7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Psychology 1200</w:t>
      </w:r>
      <w:r>
        <w:br w:type="page"/>
      </w:r>
    </w:p>
    <w:p w14:paraId="6B18FD9C" w14:textId="77777777" w:rsidR="009679E8" w:rsidRDefault="00BA7B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personality is how people interact with the world, and specifically other people. Personality is a variable that characterizes basic, dynamic tendencies, which encourage consistency in reaction to the environment (Schneider et. al., 102). A trait is a disposition to behave in a certain way. Trait theories are sets of meaningful and distinct personality dimensions that can be used to describe how people differ from one another (Goldberg, 12). The Five-Factor Model (FFM), also referred to as the Big Five theory, is the most popular (Goldberg, 12). It is also fairly universal, as it has been replicated in several other languages (Trull, 1698). This theory suggests that personality can be described through a person’s score on five different dimensions. Extraversion, agreeableness, conscientiousness, emotional stability, and openness to experience (Trull, 1698). Each of these traits consist of six correlating facets. Neuroticism consists of anxiety, anger, depression, self-consciousness, immoderation, and vulnerability. Openness to experience consists of imagination, artistic interests, emotionality, adventurousness, intellect, and liberalism.</w:t>
      </w:r>
    </w:p>
    <w:p w14:paraId="38C64BD3" w14:textId="77777777" w:rsidR="009679E8" w:rsidRDefault="00BA7B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Five-Factor Model was developed to provide a comprehensive account of personality traits and dimensions, but it was eventually realized that it could be applied to issues of psychopathy (Trull, 1698). There are strong relationships between the FFM and personality disorder features. FFM scores accounted for large amounts of variance in personality disorders in most cases (Trull, 1698). It is very logical that these traits would be related to personality disorders, because personality disorders are extreme, maladaptive versions of personality traits (Trull, 1699). Based on an understanding of the FFM and personality disorders, Widiger and colleagues came up with a set of predicted correlates between the five factors of FFM and the DSM-IV personality disorders (Trull, 1700). These studies have helped to explain some of the comorbidity patterns usually reported among personality disorders (Trull, 1700).</w:t>
      </w:r>
    </w:p>
    <w:p w14:paraId="2A57A4C3" w14:textId="77777777" w:rsidR="009679E8" w:rsidRDefault="00BA7B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Personality can affect many things including how people respond to stress. Neuroticism and openness to experience both influence stress responses. Stress responses are initiated through appraisals, which are how people make sense of and interact with their environment (Schneider et. al., 102). Neuroticism indirectly worsened performance, through threat appraisals, while openness indirectly increased positive affect through lower threat (Schneider et. al., 102). Neuroticism predicts higher threat appraisals, lower positive affect, and higher negative affect (Schneider et. al., 106). When a person has anxiety, a facet of neuroticism, the fight or flight system of the brain is often easily engaged and the individual feels as if they are in a dangerous situation (Goldberg, 14). Openness predicted lower negative affect (Schneider et. al., 106). If a person is open to explore new situations it could foster an approach orientation to novel stressors, and positively impact stress outcomes, like performance during a stressor (Schneider et. al., 107). People with neuroticism seem to differ vastly with those with openness to experience. The hypothesis of this experiment is that people with different levels of neuroticism will have different levels of openness to experience.</w:t>
      </w:r>
    </w:p>
    <w:p w14:paraId="7F588EC6" w14:textId="77777777" w:rsidR="009679E8" w:rsidRDefault="009679E8">
      <w:pPr>
        <w:spacing w:line="480" w:lineRule="auto"/>
        <w:rPr>
          <w:rFonts w:ascii="Times New Roman" w:eastAsia="Times New Roman" w:hAnsi="Times New Roman" w:cs="Times New Roman"/>
          <w:sz w:val="24"/>
          <w:szCs w:val="24"/>
        </w:rPr>
      </w:pPr>
    </w:p>
    <w:p w14:paraId="036A3C24"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w:t>
      </w:r>
    </w:p>
    <w:p w14:paraId="1D91EE72"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participants consisted of 196 people who completed a MyPsychLab activity. A series of questions divided the participants into low, medium, and high neuroticism groups.</w:t>
      </w:r>
    </w:p>
    <w:p w14:paraId="02755C31" w14:textId="25D7AB79"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low neuroticism group, 51.7% (n=15) were female, 43.3% (n=14) were male, and 0.0% (n=0) prefered not to state their gender. In this low neuroticism group 79.3% (n=23) were in the age group of 10 to 20, 13.8% (n=4) were in the age group of 21 to 40, 3.4% (n=1) were in the age group of 41 to 60, and 3.4% (n=1) were in the age group of 61 to 95. 93.1% (n=27) of the low neuroticism group were right handed and 6.9% (n=2) were left handed. In the medium </w:t>
      </w:r>
      <w:r>
        <w:rPr>
          <w:rFonts w:ascii="Times New Roman" w:eastAsia="Times New Roman" w:hAnsi="Times New Roman" w:cs="Times New Roman"/>
          <w:sz w:val="24"/>
          <w:szCs w:val="24"/>
        </w:rPr>
        <w:lastRenderedPageBreak/>
        <w:t>neuroticism group, 60.0% (n=84) were female, 39.3% (n=55) were male, and 0.7% (n=1) prefer</w:t>
      </w:r>
      <w:r w:rsidR="00A51BA6">
        <w:rPr>
          <w:rFonts w:ascii="Times New Roman" w:eastAsia="Times New Roman" w:hAnsi="Times New Roman" w:cs="Times New Roman"/>
          <w:sz w:val="24"/>
          <w:szCs w:val="24"/>
        </w:rPr>
        <w:t>r</w:t>
      </w:r>
      <w:r>
        <w:rPr>
          <w:rFonts w:ascii="Times New Roman" w:eastAsia="Times New Roman" w:hAnsi="Times New Roman" w:cs="Times New Roman"/>
          <w:sz w:val="24"/>
          <w:szCs w:val="24"/>
        </w:rPr>
        <w:t>ed not to state their gender.  In this group 77.1% (n=108) were in the age group of 10 to 20, 20.0% (n=28) were in the age group of 21 to 40, 2.1% (n=3) were in the age group of 41 to 60, and 0.7% (n=1) were in the age group of 61 to 95. 87.9% (n=123) of the medium neuroticism group were right handed and 12.1% (n=17) were left handed. In the high neuroticism group, 61.7% (n=121) were female, 18.5% (n=5) were male, and 0.0% (n=0) prefe</w:t>
      </w:r>
      <w:r w:rsidR="00A51BA6">
        <w:rPr>
          <w:rFonts w:ascii="Times New Roman" w:eastAsia="Times New Roman" w:hAnsi="Times New Roman" w:cs="Times New Roman"/>
          <w:sz w:val="24"/>
          <w:szCs w:val="24"/>
        </w:rPr>
        <w:t>r</w:t>
      </w:r>
      <w:r>
        <w:rPr>
          <w:rFonts w:ascii="Times New Roman" w:eastAsia="Times New Roman" w:hAnsi="Times New Roman" w:cs="Times New Roman"/>
          <w:sz w:val="24"/>
          <w:szCs w:val="24"/>
        </w:rPr>
        <w:t>red not to state their gender. In this group 81.5% (n=22) were in the age group of 10 to 20, 14.8% (n=4) were in the age group of 21 to 40, 3.7% (n=1) were in the age group of 41 to 60, and 0.0% (n=0) were in the age group of 61 to 95. 88.9% (n=24) of the high neuroticism group were right handed and 11.1% (n=3) were left handed.</w:t>
      </w:r>
    </w:p>
    <w:p w14:paraId="6B5E6FEE" w14:textId="77777777" w:rsidR="009679E8" w:rsidRDefault="009679E8">
      <w:pPr>
        <w:spacing w:line="480" w:lineRule="auto"/>
        <w:rPr>
          <w:rFonts w:ascii="Times New Roman" w:eastAsia="Times New Roman" w:hAnsi="Times New Roman" w:cs="Times New Roman"/>
          <w:sz w:val="24"/>
          <w:szCs w:val="24"/>
        </w:rPr>
      </w:pPr>
    </w:p>
    <w:p w14:paraId="20F8FD25"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Materials/Measures:</w:t>
      </w:r>
    </w:p>
    <w:p w14:paraId="0B142C6B"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study used a personality survey found on MyPsychLab to assess a person on the five dimensions of the Five-Factor Model.</w:t>
      </w:r>
    </w:p>
    <w:p w14:paraId="1FF8AC49" w14:textId="77777777" w:rsidR="009679E8" w:rsidRDefault="009679E8">
      <w:pPr>
        <w:spacing w:line="480" w:lineRule="auto"/>
        <w:rPr>
          <w:rFonts w:ascii="Times New Roman" w:eastAsia="Times New Roman" w:hAnsi="Times New Roman" w:cs="Times New Roman"/>
          <w:sz w:val="24"/>
          <w:szCs w:val="24"/>
        </w:rPr>
      </w:pPr>
    </w:p>
    <w:p w14:paraId="21F634D4"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Procedure:</w:t>
      </w:r>
    </w:p>
    <w:p w14:paraId="7D55675A" w14:textId="77777777" w:rsidR="009679E8" w:rsidRDefault="00BA7B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complete this study, each student completed the IPIP NEO- Personality Inventory on MyPsychLab. To do this, they logged on to mypearson.com and went to the course PSYC-1200-C01. The activity could be found in the course calendar under items due. The survey asked a series of questions to score the participant on neuroticism, agreeableness, extraversion, openness to experience, and conscientiousness. To determine the scores on these five categories, questions were asked about six subsets. The subsets that made up neuroticism were anxiety, anger, depression, self-consciousness, immoderation, and vulnerability. The subsets that made up </w:t>
      </w:r>
      <w:r>
        <w:rPr>
          <w:rFonts w:ascii="Times New Roman" w:eastAsia="Times New Roman" w:hAnsi="Times New Roman" w:cs="Times New Roman"/>
          <w:sz w:val="24"/>
          <w:szCs w:val="24"/>
        </w:rPr>
        <w:lastRenderedPageBreak/>
        <w:t>agreeableness were trust, morality, altruism, cooperation, modesty, and sympathy. The subsets that made up extraversion were friendliness, gregariousness, assertiveness, activity level, attention seeking, and cheerfulness. The subsets that made up openness to experience were imagination, artistic interests, emotionality, adventurousness, intellect, and liberalism.</w:t>
      </w:r>
    </w:p>
    <w:p w14:paraId="506AECB1" w14:textId="77777777" w:rsidR="009679E8" w:rsidRDefault="009679E8">
      <w:pPr>
        <w:spacing w:line="480" w:lineRule="auto"/>
        <w:ind w:firstLine="720"/>
        <w:rPr>
          <w:rFonts w:ascii="Times New Roman" w:eastAsia="Times New Roman" w:hAnsi="Times New Roman" w:cs="Times New Roman"/>
          <w:sz w:val="24"/>
          <w:szCs w:val="24"/>
        </w:rPr>
      </w:pPr>
    </w:p>
    <w:p w14:paraId="31072C07"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Results:</w:t>
      </w:r>
    </w:p>
    <w:p w14:paraId="7B30C754"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7F7CE158" wp14:editId="74DDE36D">
            <wp:extent cx="5943600" cy="3670300"/>
            <wp:effectExtent l="0" t="0" r="0" b="0"/>
            <wp:docPr id="1" name="image2.png" descr="Points scored"/>
            <wp:cNvGraphicFramePr/>
            <a:graphic xmlns:a="http://schemas.openxmlformats.org/drawingml/2006/main">
              <a:graphicData uri="http://schemas.openxmlformats.org/drawingml/2006/picture">
                <pic:pic xmlns:pic="http://schemas.openxmlformats.org/drawingml/2006/picture">
                  <pic:nvPicPr>
                    <pic:cNvPr id="0" name="image2.png" descr="Points scored"/>
                    <pic:cNvPicPr preferRelativeResize="0"/>
                  </pic:nvPicPr>
                  <pic:blipFill>
                    <a:blip r:embed="rId6"/>
                    <a:srcRect/>
                    <a:stretch>
                      <a:fillRect/>
                    </a:stretch>
                  </pic:blipFill>
                  <pic:spPr>
                    <a:xfrm>
                      <a:off x="0" y="0"/>
                      <a:ext cx="5943600" cy="3670300"/>
                    </a:xfrm>
                    <a:prstGeom prst="rect">
                      <a:avLst/>
                    </a:prstGeom>
                    <a:ln/>
                  </pic:spPr>
                </pic:pic>
              </a:graphicData>
            </a:graphic>
          </wp:inline>
        </w:drawing>
      </w:r>
    </w:p>
    <w:p w14:paraId="195BE9F6"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 This graph shows the self reported levels of openness to experience from the three different levels of neuroticism.</w:t>
      </w:r>
    </w:p>
    <w:p w14:paraId="762B535D" w14:textId="77777777" w:rsidR="009679E8" w:rsidRDefault="009679E8">
      <w:pPr>
        <w:spacing w:line="480" w:lineRule="auto"/>
        <w:rPr>
          <w:rFonts w:ascii="Times New Roman" w:eastAsia="Times New Roman" w:hAnsi="Times New Roman" w:cs="Times New Roman"/>
          <w:sz w:val="24"/>
          <w:szCs w:val="24"/>
        </w:rPr>
      </w:pPr>
    </w:p>
    <w:p w14:paraId="7729FE2F" w14:textId="77777777" w:rsidR="009679E8" w:rsidRDefault="00BA7B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hypothesis was that individuals who are low, average, or high on neuroticism will differ in their self-reported levels of openness to experience, F(2, 193)= 5.26, p&lt; .05. Individuals who are low on neuroticism report significantly more openness to experience (M=83.83, </w:t>
      </w:r>
      <w:r>
        <w:rPr>
          <w:rFonts w:ascii="Times New Roman" w:eastAsia="Times New Roman" w:hAnsi="Times New Roman" w:cs="Times New Roman"/>
          <w:sz w:val="24"/>
          <w:szCs w:val="24"/>
        </w:rPr>
        <w:lastRenderedPageBreak/>
        <w:t xml:space="preserve">SD=13.60) than individuals who are average on neuroticism (M=76.33, SD=10.91) by 7.5 points, on average. </w:t>
      </w:r>
    </w:p>
    <w:p w14:paraId="21094464" w14:textId="77777777" w:rsidR="009679E8" w:rsidRDefault="00BA7B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ANOVA and a post-hoc Bonferroni analysis were used for statistical analyses. ANOVA stands for analysis of variance and is used to compare more than two groups. It also allows the mean differences of all the groups to be compared. Post-hoc Bonferroni is used to find out how the groups are different and where the difference was if there was a difference. </w:t>
      </w:r>
    </w:p>
    <w:p w14:paraId="7B9178C8" w14:textId="77777777" w:rsidR="009679E8" w:rsidRDefault="009679E8">
      <w:pPr>
        <w:spacing w:line="480" w:lineRule="auto"/>
        <w:ind w:firstLine="720"/>
        <w:rPr>
          <w:rFonts w:ascii="Times New Roman" w:eastAsia="Times New Roman" w:hAnsi="Times New Roman" w:cs="Times New Roman"/>
          <w:sz w:val="24"/>
          <w:szCs w:val="24"/>
        </w:rPr>
      </w:pPr>
    </w:p>
    <w:p w14:paraId="16D3834D"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p>
    <w:p w14:paraId="4B60D127"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aim of the study was to determine if an individual’s level of neuroticism related to their openness to experience. The results showed that individuals with different levels of neuroticism did have different levels of openness to experience. The hypothesis was that people with different neuroticism levels would have different levels of openness to experience, so the hypothesis was supported.  The implications of this study could be that high levels of neuroticism, which includes the subsets of anxiety and self-consciousness, prevent people from being open to new things. People with a lot of anxiety often feel something dangerous is going to happen. This could make someone less likely to try new things they are not comfortable with. Self-conscious people are sensitive to what others think, and are easily embarrassed and often ashamed. This could make people avoid social situations, and new things they do not know they can succeed in. High scores in neuroticism can often indicate a tendency to have negative feelings, and people with high neuroticism can feel overwhelmed and upset at minor frustrations. In the real world, this could mean that people with higher levels of neuroticism could be less likely to take chances and more likely to be risk averse. This means that they are more likely to settle than reach for something that requires putting themselves out there like applying for a new </w:t>
      </w:r>
      <w:r>
        <w:rPr>
          <w:rFonts w:ascii="Times New Roman" w:eastAsia="Times New Roman" w:hAnsi="Times New Roman" w:cs="Times New Roman"/>
          <w:sz w:val="24"/>
          <w:szCs w:val="24"/>
        </w:rPr>
        <w:lastRenderedPageBreak/>
        <w:t>job, or asking for a promotion or raise. This study could raise questions about how each of the individual subsets of neuroticism relate to openness to experience. The data from the study would have to be run again with each of the six subsets to see if the results are significant.</w:t>
      </w:r>
    </w:p>
    <w:p w14:paraId="5C449723" w14:textId="77777777" w:rsidR="009679E8" w:rsidRDefault="00BA7B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is limited because of the phrasing of the questions. The test says that low, average, and high scores on a personality test are not good or bad, however the wording makes some traits seem very favorable over others. This means some participants may have chose the answers that sounded good instead of what they felt was true. People also could have misinterpreted the questions, or answered falsely because it was a self survey. The study had a pretty large sample size, but it could have benefitted from being bigger. The study also should have had a more even amount of males and females, as the participants were mostly female. If another personality study was to be conducted, the questions should appear less biased, so people would feel more inclined to give an honest answer. If this was done more people may score higher on neuroticism and lower on extraversion, because neuroticism appears to be a negative trait, while extraversion appears to be a good, highly valued trait. There should also be more evenly spread out demographics, instead of a focus on one group. Categories of race and socioeconomic status could also be included to see if there is a relationship between with the five personality categories. </w:t>
      </w:r>
    </w:p>
    <w:p w14:paraId="4E670EFA" w14:textId="77777777" w:rsidR="009679E8" w:rsidRDefault="009679E8">
      <w:pPr>
        <w:spacing w:line="480" w:lineRule="auto"/>
        <w:ind w:firstLine="720"/>
        <w:rPr>
          <w:rFonts w:ascii="Times New Roman" w:eastAsia="Times New Roman" w:hAnsi="Times New Roman" w:cs="Times New Roman"/>
          <w:sz w:val="24"/>
          <w:szCs w:val="24"/>
        </w:rPr>
      </w:pPr>
    </w:p>
    <w:p w14:paraId="62B670EC" w14:textId="77777777" w:rsidR="009679E8" w:rsidRDefault="00BA7B78">
      <w:pPr>
        <w:spacing w:line="480" w:lineRule="auto"/>
        <w:rPr>
          <w:rFonts w:ascii="Times New Roman" w:eastAsia="Times New Roman" w:hAnsi="Times New Roman" w:cs="Times New Roman"/>
          <w:color w:val="333333"/>
          <w:sz w:val="24"/>
          <w:szCs w:val="24"/>
          <w:shd w:val="clear" w:color="auto" w:fill="F5F5F5"/>
        </w:rPr>
      </w:pPr>
      <w:r>
        <w:br w:type="page"/>
      </w:r>
    </w:p>
    <w:p w14:paraId="0C17015A" w14:textId="77777777" w:rsidR="009679E8" w:rsidRDefault="00BA7B7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699B9795" w14:textId="77777777" w:rsidR="009679E8" w:rsidRDefault="00BA7B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Goldberg, L. R. (1999). A broad-bandwidth, public domain, personality inventory measuring the </w:t>
      </w:r>
    </w:p>
    <w:p w14:paraId="111330AF" w14:textId="77777777" w:rsidR="009679E8" w:rsidRDefault="00BA7B78">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lower-level facets of several five-factor models. In I. Mervielde, I. Deary, F. De Fruyt, &amp; F. Ostendorf (Eds.), </w:t>
      </w:r>
      <w:r>
        <w:rPr>
          <w:rFonts w:ascii="Times New Roman" w:eastAsia="Times New Roman" w:hAnsi="Times New Roman" w:cs="Times New Roman"/>
          <w:i/>
          <w:sz w:val="24"/>
          <w:szCs w:val="24"/>
        </w:rPr>
        <w:t>Personality Psychology in Europe</w:t>
      </w:r>
      <w:r>
        <w:rPr>
          <w:rFonts w:ascii="Times New Roman" w:eastAsia="Times New Roman" w:hAnsi="Times New Roman" w:cs="Times New Roman"/>
          <w:sz w:val="24"/>
          <w:szCs w:val="24"/>
        </w:rPr>
        <w:t>, 7, 7-28</w:t>
      </w:r>
    </w:p>
    <w:p w14:paraId="283F5F3A" w14:textId="77777777" w:rsidR="009679E8" w:rsidRDefault="009679E8">
      <w:pPr>
        <w:spacing w:line="480" w:lineRule="auto"/>
        <w:ind w:left="720"/>
        <w:rPr>
          <w:rFonts w:ascii="Times New Roman" w:eastAsia="Times New Roman" w:hAnsi="Times New Roman" w:cs="Times New Roman"/>
          <w:sz w:val="24"/>
          <w:szCs w:val="24"/>
        </w:rPr>
      </w:pPr>
    </w:p>
    <w:p w14:paraId="66DA07F6" w14:textId="77777777" w:rsidR="00A51BA6" w:rsidRDefault="00BA7B78" w:rsidP="00A51BA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Schneider, T. R., Rench, T. A., Lyons, J. B., &amp; Riffle, R. R. (2012). The influence of </w:t>
      </w:r>
    </w:p>
    <w:p w14:paraId="62F433E9" w14:textId="3046A3A2" w:rsidR="009679E8" w:rsidRDefault="00BA7B78" w:rsidP="00A51BA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neuroticism, extraversion and openness on stress responses. </w:t>
      </w:r>
      <w:r>
        <w:rPr>
          <w:rFonts w:ascii="Times New Roman" w:eastAsia="Times New Roman" w:hAnsi="Times New Roman" w:cs="Times New Roman"/>
          <w:i/>
          <w:sz w:val="24"/>
          <w:szCs w:val="24"/>
        </w:rPr>
        <w:t>Stress And Health: Journal Of The International Society For The Investigation Of Stress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28</w:t>
      </w:r>
      <w:r>
        <w:rPr>
          <w:rFonts w:ascii="Times New Roman" w:eastAsia="Times New Roman" w:hAnsi="Times New Roman" w:cs="Times New Roman"/>
          <w:sz w:val="24"/>
          <w:szCs w:val="24"/>
        </w:rPr>
        <w:t>(2), 102-110.</w:t>
      </w:r>
    </w:p>
    <w:p w14:paraId="4D784ABC" w14:textId="77777777" w:rsidR="009679E8" w:rsidRDefault="009679E8">
      <w:pPr>
        <w:spacing w:line="480" w:lineRule="auto"/>
        <w:rPr>
          <w:rFonts w:ascii="Times New Roman" w:eastAsia="Times New Roman" w:hAnsi="Times New Roman" w:cs="Times New Roman"/>
          <w:sz w:val="24"/>
          <w:szCs w:val="24"/>
        </w:rPr>
      </w:pPr>
    </w:p>
    <w:p w14:paraId="1AD7E704" w14:textId="77777777" w:rsidR="009679E8" w:rsidRDefault="00BA7B78">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Trull, T. J. (2012). The Five-Factor Model of Personality Disorder and DSM-5. </w:t>
      </w:r>
      <w:r>
        <w:rPr>
          <w:rFonts w:ascii="Times New Roman" w:eastAsia="Times New Roman" w:hAnsi="Times New Roman" w:cs="Times New Roman"/>
          <w:i/>
          <w:sz w:val="24"/>
          <w:szCs w:val="24"/>
        </w:rPr>
        <w:t xml:space="preserve">Journal of </w:t>
      </w:r>
    </w:p>
    <w:p w14:paraId="67C63A53" w14:textId="77777777" w:rsidR="009679E8" w:rsidRDefault="00BA7B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Personality</w:t>
      </w:r>
      <w:r>
        <w:rPr>
          <w:rFonts w:ascii="Times New Roman" w:eastAsia="Times New Roman" w:hAnsi="Times New Roman" w:cs="Times New Roman"/>
          <w:sz w:val="24"/>
          <w:szCs w:val="24"/>
        </w:rPr>
        <w:t>, 80(6), 1697-1712.</w:t>
      </w:r>
    </w:p>
    <w:p w14:paraId="3AB872FF" w14:textId="77777777" w:rsidR="009679E8" w:rsidRDefault="009679E8">
      <w:pPr>
        <w:spacing w:line="480" w:lineRule="auto"/>
        <w:rPr>
          <w:rFonts w:ascii="Times New Roman" w:eastAsia="Times New Roman" w:hAnsi="Times New Roman" w:cs="Times New Roman"/>
          <w:sz w:val="24"/>
          <w:szCs w:val="24"/>
        </w:rPr>
      </w:pPr>
    </w:p>
    <w:p w14:paraId="5120693E" w14:textId="77777777" w:rsidR="009679E8" w:rsidRDefault="009679E8">
      <w:pPr>
        <w:spacing w:line="480" w:lineRule="auto"/>
        <w:rPr>
          <w:rFonts w:ascii="Times New Roman" w:eastAsia="Times New Roman" w:hAnsi="Times New Roman" w:cs="Times New Roman"/>
          <w:sz w:val="24"/>
          <w:szCs w:val="24"/>
        </w:rPr>
      </w:pPr>
    </w:p>
    <w:p w14:paraId="637249BC" w14:textId="77777777" w:rsidR="009679E8" w:rsidRDefault="009679E8">
      <w:pPr>
        <w:spacing w:line="480" w:lineRule="auto"/>
        <w:rPr>
          <w:rFonts w:ascii="Times New Roman" w:eastAsia="Times New Roman" w:hAnsi="Times New Roman" w:cs="Times New Roman"/>
          <w:color w:val="333333"/>
          <w:sz w:val="24"/>
          <w:szCs w:val="24"/>
          <w:highlight w:val="white"/>
        </w:rPr>
      </w:pPr>
    </w:p>
    <w:p w14:paraId="3283A5D0" w14:textId="77777777" w:rsidR="009679E8" w:rsidRDefault="009679E8">
      <w:pPr>
        <w:spacing w:line="480" w:lineRule="auto"/>
        <w:rPr>
          <w:rFonts w:ascii="Roboto" w:eastAsia="Roboto" w:hAnsi="Roboto" w:cs="Roboto"/>
          <w:color w:val="333333"/>
          <w:sz w:val="24"/>
          <w:szCs w:val="24"/>
          <w:highlight w:val="white"/>
        </w:rPr>
      </w:pPr>
    </w:p>
    <w:sectPr w:rsidR="009679E8">
      <w:headerReference w:type="default" r:id="rId7"/>
      <w:headerReference w:type="first" r:id="rId8"/>
      <w:footerReference w:type="first" r:id="rId9"/>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A8F39" w14:textId="77777777" w:rsidR="00BA7B78" w:rsidRDefault="00BA7B78">
      <w:pPr>
        <w:spacing w:line="240" w:lineRule="auto"/>
      </w:pPr>
      <w:r>
        <w:separator/>
      </w:r>
    </w:p>
  </w:endnote>
  <w:endnote w:type="continuationSeparator" w:id="0">
    <w:p w14:paraId="12C9D448" w14:textId="77777777" w:rsidR="00BA7B78" w:rsidRDefault="00BA7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panose1 w:val="020B0604020202020204"/>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83B92" w14:textId="77777777" w:rsidR="009679E8" w:rsidRDefault="009679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0FB638" w14:textId="77777777" w:rsidR="00BA7B78" w:rsidRDefault="00BA7B78">
      <w:pPr>
        <w:spacing w:line="240" w:lineRule="auto"/>
      </w:pPr>
      <w:r>
        <w:separator/>
      </w:r>
    </w:p>
  </w:footnote>
  <w:footnote w:type="continuationSeparator" w:id="0">
    <w:p w14:paraId="0D849CDB" w14:textId="77777777" w:rsidR="00BA7B78" w:rsidRDefault="00BA7B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7A01B" w14:textId="77777777" w:rsidR="009679E8" w:rsidRDefault="009679E8">
    <w:pPr>
      <w:rPr>
        <w:rFonts w:ascii="Times New Roman" w:eastAsia="Times New Roman" w:hAnsi="Times New Roman" w:cs="Times New Roman"/>
        <w:sz w:val="24"/>
        <w:szCs w:val="24"/>
      </w:rPr>
    </w:pPr>
  </w:p>
  <w:p w14:paraId="4765EC2C" w14:textId="77777777" w:rsidR="009679E8" w:rsidRDefault="00BA7B78">
    <w:pPr>
      <w:rPr>
        <w:rFonts w:ascii="Times New Roman" w:eastAsia="Times New Roman" w:hAnsi="Times New Roman" w:cs="Times New Roman"/>
        <w:sz w:val="24"/>
        <w:szCs w:val="24"/>
      </w:rPr>
    </w:pPr>
    <w:r>
      <w:rPr>
        <w:rFonts w:ascii="Times New Roman" w:eastAsia="Times New Roman" w:hAnsi="Times New Roman" w:cs="Times New Roman"/>
        <w:sz w:val="24"/>
        <w:szCs w:val="24"/>
      </w:rPr>
      <w:t>NEUROTICISM AND OPENNESS TO EXPERIENCE</w:t>
    </w:r>
    <w:r>
      <w:tab/>
    </w:r>
    <w:r>
      <w:tab/>
    </w:r>
    <w:r>
      <w:tab/>
    </w:r>
    <w:r>
      <w:tab/>
    </w:r>
    <w:r>
      <w:tab/>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A51BA6">
      <w:rPr>
        <w:rFonts w:ascii="Times New Roman" w:eastAsia="Times New Roman" w:hAnsi="Times New Roman" w:cs="Times New Roman"/>
        <w:noProof/>
        <w:sz w:val="24"/>
        <w:szCs w:val="24"/>
      </w:rPr>
      <w:t>6</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FE763" w14:textId="77777777" w:rsidR="009679E8" w:rsidRDefault="009679E8"/>
  <w:p w14:paraId="7E0C82E6" w14:textId="77777777" w:rsidR="009679E8" w:rsidRDefault="00BA7B78">
    <w:pPr>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NEUROTICISM AND OPENNESS TO EXPERIENCE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A51BA6">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679E8"/>
    <w:rsid w:val="00135B78"/>
    <w:rsid w:val="007C38A3"/>
    <w:rsid w:val="009679E8"/>
    <w:rsid w:val="00A51BA6"/>
    <w:rsid w:val="00BA7B78"/>
    <w:rsid w:val="00C32E6A"/>
    <w:rsid w:val="00DA1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A0EC7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1579</Words>
  <Characters>9004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castagnaro</cp:lastModifiedBy>
  <cp:revision>2</cp:revision>
  <dcterms:created xsi:type="dcterms:W3CDTF">2018-11-08T15:48:00Z</dcterms:created>
  <dcterms:modified xsi:type="dcterms:W3CDTF">2018-11-08T15:48:00Z</dcterms:modified>
</cp:coreProperties>
</file>